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CE5AD" w14:textId="77777777" w:rsidR="00E253EA" w:rsidRDefault="00277393">
      <w:pPr>
        <w:spacing w:after="280"/>
        <w:jc w:val="center"/>
        <w:rPr>
          <w:sz w:val="32"/>
          <w:szCs w:val="32"/>
        </w:rPr>
      </w:pPr>
      <w:r>
        <w:rPr>
          <w:rFonts w:ascii="Calibri" w:eastAsia="Calibri" w:hAnsi="Calibri" w:cs="Calibri"/>
          <w:b/>
          <w:bCs/>
          <w:sz w:val="32"/>
          <w:szCs w:val="32"/>
        </w:rPr>
        <w:t>MICHAEL GARRON HOSPITAL</w:t>
      </w:r>
    </w:p>
    <w:p w14:paraId="53C4040D" w14:textId="77777777" w:rsidR="00E253EA" w:rsidRDefault="00277393">
      <w:pPr>
        <w:spacing w:before="280" w:after="280"/>
        <w:jc w:val="center"/>
        <w:rPr>
          <w:sz w:val="32"/>
          <w:szCs w:val="32"/>
        </w:rPr>
      </w:pPr>
      <w:r>
        <w:rPr>
          <w:rFonts w:ascii="Calibri" w:eastAsia="Calibri" w:hAnsi="Calibri" w:cs="Calibri"/>
          <w:b/>
          <w:bCs/>
          <w:sz w:val="32"/>
          <w:szCs w:val="32"/>
        </w:rPr>
        <w:t xml:space="preserve">STAFF POSITION </w:t>
      </w:r>
    </w:p>
    <w:p w14:paraId="21DC3746" w14:textId="6ECE2660" w:rsidR="00E253EA" w:rsidRDefault="00277393">
      <w:pPr>
        <w:spacing w:before="280" w:after="280"/>
        <w:jc w:val="center"/>
        <w:rPr>
          <w:sz w:val="32"/>
          <w:szCs w:val="32"/>
        </w:rPr>
      </w:pPr>
      <w:r>
        <w:rPr>
          <w:rFonts w:ascii="Calibri" w:eastAsia="Calibri" w:hAnsi="Calibri" w:cs="Calibri"/>
          <w:b/>
          <w:bCs/>
          <w:sz w:val="32"/>
          <w:szCs w:val="32"/>
        </w:rPr>
        <w:t>PLASTIC SURGEON</w:t>
      </w:r>
      <w:r w:rsidR="00796E2C">
        <w:rPr>
          <w:rFonts w:ascii="Calibri" w:eastAsia="Calibri" w:hAnsi="Calibri" w:cs="Calibri"/>
          <w:b/>
          <w:bCs/>
          <w:sz w:val="32"/>
          <w:szCs w:val="32"/>
        </w:rPr>
        <w:t>/Department of Surgery</w:t>
      </w:r>
    </w:p>
    <w:p w14:paraId="236C3960" w14:textId="017937BA" w:rsidR="00796E2C" w:rsidRPr="00796E2C" w:rsidRDefault="00796E2C" w:rsidP="00796E2C">
      <w:pPr>
        <w:autoSpaceDE w:val="0"/>
        <w:autoSpaceDN w:val="0"/>
        <w:adjustRightInd w:val="0"/>
        <w:rPr>
          <w:rFonts w:ascii="Calibri" w:hAnsi="Calibri" w:cs="Calibri"/>
          <w:sz w:val="22"/>
          <w:szCs w:val="22"/>
          <w:lang w:val="en-CA"/>
        </w:rPr>
      </w:pPr>
      <w:r w:rsidRPr="00796E2C">
        <w:rPr>
          <w:rFonts w:ascii="Calibri" w:eastAsia="Calibri" w:hAnsi="Calibri" w:cs="Calibri"/>
          <w:sz w:val="22"/>
          <w:szCs w:val="22"/>
        </w:rPr>
        <w:t xml:space="preserve">Position: </w:t>
      </w:r>
      <w:r w:rsidRPr="00796E2C">
        <w:rPr>
          <w:rFonts w:ascii="Calibri" w:hAnsi="Calibri" w:cs="Calibri"/>
          <w:sz w:val="22"/>
          <w:szCs w:val="22"/>
          <w:lang w:val="en-CA"/>
        </w:rPr>
        <w:t xml:space="preserve">The Division of Plastic Surgery at Michael Garron Hospital is searching for a qualified and dedicated candidate to join our Department of Surgery for </w:t>
      </w:r>
      <w:r w:rsidR="00380A85">
        <w:rPr>
          <w:rFonts w:ascii="Calibri" w:hAnsi="Calibri" w:cs="Calibri"/>
          <w:sz w:val="22"/>
          <w:szCs w:val="22"/>
          <w:lang w:val="en-CA"/>
        </w:rPr>
        <w:t>January 2026 (flexible)</w:t>
      </w:r>
      <w:r w:rsidRPr="00796E2C">
        <w:rPr>
          <w:rFonts w:ascii="Calibri" w:hAnsi="Calibri" w:cs="Calibri"/>
          <w:sz w:val="22"/>
          <w:szCs w:val="22"/>
          <w:lang w:val="en-CA"/>
        </w:rPr>
        <w:t>.</w:t>
      </w:r>
    </w:p>
    <w:p w14:paraId="2443B61B" w14:textId="77777777" w:rsidR="00796E2C" w:rsidRPr="00796E2C" w:rsidRDefault="00277393">
      <w:pPr>
        <w:spacing w:before="280" w:after="280"/>
        <w:rPr>
          <w:rFonts w:ascii="Calibri" w:hAnsi="Calibri" w:cs="Calibri"/>
          <w:sz w:val="22"/>
          <w:szCs w:val="22"/>
        </w:rPr>
      </w:pPr>
      <w:r w:rsidRPr="00796E2C">
        <w:rPr>
          <w:rFonts w:ascii="Calibri" w:eastAsia="Calibri" w:hAnsi="Calibri" w:cs="Calibri"/>
          <w:sz w:val="22"/>
          <w:szCs w:val="22"/>
        </w:rPr>
        <w:t>Michael Garron Hospital (MGH), a division of the Toronto East Health Network (TEHN), is a vibrant community teaching hospital, affiliated with the University of Toronto, and serves one of Canada’s most diverse communities. Annually, the Hospital provides care for 20,000 inpatients, has over 60,000 emergency visits, 225,000 outpatient visits and delivers nearly 3,500 babies.  Michael Garron Hospital has 470 beds comprised of acute care, rehabilitation, and complex continuing care beds. MGH has a closed intensive care unit and full access to diagnostic imaging (US, CT, MRI). Michael Garron Hospital has undergone a major campus wide redevelopment project, and the new and state of the art, 8-storey Ken and Marilyn Thomson Patient Care Centre recently opened in January 2023.</w:t>
      </w:r>
      <w:r w:rsidRPr="00796E2C">
        <w:rPr>
          <w:rFonts w:ascii="Calibri" w:eastAsia="Calibri" w:hAnsi="Calibri" w:cs="Calibri"/>
          <w:sz w:val="22"/>
          <w:szCs w:val="22"/>
        </w:rPr>
        <w:br/>
      </w:r>
    </w:p>
    <w:p w14:paraId="18C2437F" w14:textId="0EE6521D" w:rsidR="00E253EA" w:rsidRPr="00796E2C" w:rsidRDefault="00796E2C" w:rsidP="00796E2C">
      <w:pPr>
        <w:pStyle w:val="BodyText"/>
        <w:spacing w:before="238"/>
        <w:ind w:left="0" w:right="209"/>
      </w:pPr>
      <w:r w:rsidRPr="00796E2C">
        <w:t>Qualified candidates must have a Medical Degree and completed Residency Training in Plastic Surgery. They must be eligible for certification by the Royal College of Physicians and Surgeons of Canada and for licensure in the Province of Ontario. Preference will be given to candidates who have additional fellowship training in a subspecialty, preferably with expertise in hand, peripheral nerve, and/or breast reconstruction.   Candidates</w:t>
      </w:r>
      <w:r w:rsidRPr="00796E2C">
        <w:rPr>
          <w:spacing w:val="-1"/>
        </w:rPr>
        <w:t xml:space="preserve"> </w:t>
      </w:r>
      <w:r w:rsidRPr="00796E2C">
        <w:t>must</w:t>
      </w:r>
      <w:r w:rsidRPr="00796E2C">
        <w:rPr>
          <w:spacing w:val="-1"/>
        </w:rPr>
        <w:t xml:space="preserve"> </w:t>
      </w:r>
      <w:r w:rsidRPr="00796E2C">
        <w:t>have</w:t>
      </w:r>
      <w:r w:rsidRPr="00796E2C">
        <w:rPr>
          <w:spacing w:val="-1"/>
        </w:rPr>
        <w:t xml:space="preserve"> </w:t>
      </w:r>
      <w:r w:rsidRPr="00796E2C">
        <w:t>an</w:t>
      </w:r>
      <w:r w:rsidRPr="00796E2C">
        <w:rPr>
          <w:spacing w:val="-1"/>
        </w:rPr>
        <w:t xml:space="preserve"> </w:t>
      </w:r>
      <w:r w:rsidRPr="00796E2C">
        <w:t>interest in teaching medical students and surgical residents and have demonstrated a commitment to</w:t>
      </w:r>
      <w:r w:rsidRPr="00796E2C">
        <w:rPr>
          <w:spacing w:val="80"/>
        </w:rPr>
        <w:t xml:space="preserve"> </w:t>
      </w:r>
      <w:r w:rsidRPr="00796E2C">
        <w:t>excellence in surgical education</w:t>
      </w:r>
      <w:r w:rsidR="00381090" w:rsidRPr="00796E2C">
        <w:t xml:space="preserve"> </w:t>
      </w:r>
    </w:p>
    <w:p w14:paraId="613B09F3" w14:textId="77777777" w:rsidR="00796E2C" w:rsidRPr="00796E2C" w:rsidRDefault="00796E2C" w:rsidP="00796E2C">
      <w:pPr>
        <w:pStyle w:val="BodyText"/>
        <w:spacing w:before="238"/>
        <w:ind w:left="179" w:right="209"/>
      </w:pPr>
    </w:p>
    <w:p w14:paraId="5A32495E" w14:textId="6AC3AADB" w:rsidR="00796E2C" w:rsidRPr="00796E2C" w:rsidRDefault="00796E2C" w:rsidP="00796E2C">
      <w:pPr>
        <w:pStyle w:val="BodyText"/>
        <w:ind w:left="0" w:right="203"/>
      </w:pPr>
      <w:r w:rsidRPr="00796E2C">
        <w:t>The</w:t>
      </w:r>
      <w:r w:rsidRPr="00796E2C">
        <w:rPr>
          <w:spacing w:val="-3"/>
        </w:rPr>
        <w:t xml:space="preserve"> </w:t>
      </w:r>
      <w:r w:rsidRPr="00796E2C">
        <w:t>successful</w:t>
      </w:r>
      <w:r w:rsidRPr="00796E2C">
        <w:rPr>
          <w:spacing w:val="-1"/>
        </w:rPr>
        <w:t xml:space="preserve"> </w:t>
      </w:r>
      <w:r w:rsidRPr="00796E2C">
        <w:t>candidate</w:t>
      </w:r>
      <w:r w:rsidRPr="00796E2C">
        <w:rPr>
          <w:spacing w:val="-3"/>
        </w:rPr>
        <w:t xml:space="preserve"> </w:t>
      </w:r>
      <w:r w:rsidRPr="00796E2C">
        <w:t>will</w:t>
      </w:r>
      <w:r w:rsidRPr="00796E2C">
        <w:rPr>
          <w:spacing w:val="-2"/>
        </w:rPr>
        <w:t xml:space="preserve"> </w:t>
      </w:r>
      <w:r w:rsidRPr="00796E2C">
        <w:t>be</w:t>
      </w:r>
      <w:r w:rsidRPr="00796E2C">
        <w:rPr>
          <w:spacing w:val="-3"/>
        </w:rPr>
        <w:t xml:space="preserve"> </w:t>
      </w:r>
      <w:r w:rsidRPr="00796E2C">
        <w:t>expected</w:t>
      </w:r>
      <w:r w:rsidRPr="00796E2C">
        <w:rPr>
          <w:spacing w:val="-3"/>
        </w:rPr>
        <w:t xml:space="preserve"> </w:t>
      </w:r>
      <w:r w:rsidRPr="00796E2C">
        <w:t>to</w:t>
      </w:r>
      <w:r w:rsidRPr="00796E2C">
        <w:rPr>
          <w:spacing w:val="-3"/>
        </w:rPr>
        <w:t xml:space="preserve"> </w:t>
      </w:r>
      <w:r w:rsidRPr="00796E2C">
        <w:t>demonstrate</w:t>
      </w:r>
      <w:r w:rsidRPr="00796E2C">
        <w:rPr>
          <w:spacing w:val="-3"/>
        </w:rPr>
        <w:t xml:space="preserve"> </w:t>
      </w:r>
      <w:r w:rsidRPr="00796E2C">
        <w:t>a</w:t>
      </w:r>
      <w:r w:rsidRPr="00796E2C">
        <w:rPr>
          <w:spacing w:val="-4"/>
        </w:rPr>
        <w:t xml:space="preserve"> </w:t>
      </w:r>
      <w:r w:rsidRPr="00796E2C">
        <w:t>commitment</w:t>
      </w:r>
      <w:r w:rsidRPr="00796E2C">
        <w:rPr>
          <w:spacing w:val="-2"/>
        </w:rPr>
        <w:t xml:space="preserve"> </w:t>
      </w:r>
      <w:r w:rsidRPr="00796E2C">
        <w:t>to</w:t>
      </w:r>
      <w:r w:rsidRPr="00796E2C">
        <w:rPr>
          <w:spacing w:val="-2"/>
        </w:rPr>
        <w:t xml:space="preserve"> </w:t>
      </w:r>
      <w:r w:rsidRPr="00796E2C">
        <w:t>advance</w:t>
      </w:r>
      <w:r w:rsidRPr="00796E2C">
        <w:rPr>
          <w:spacing w:val="-3"/>
        </w:rPr>
        <w:t xml:space="preserve"> </w:t>
      </w:r>
      <w:r w:rsidRPr="00796E2C">
        <w:t>the</w:t>
      </w:r>
      <w:r w:rsidRPr="00796E2C">
        <w:rPr>
          <w:spacing w:val="-3"/>
        </w:rPr>
        <w:t xml:space="preserve"> </w:t>
      </w:r>
      <w:r w:rsidRPr="00796E2C">
        <w:t>strategic</w:t>
      </w:r>
      <w:r w:rsidRPr="00796E2C">
        <w:rPr>
          <w:spacing w:val="-3"/>
        </w:rPr>
        <w:t xml:space="preserve"> </w:t>
      </w:r>
      <w:r w:rsidRPr="00796E2C">
        <w:t>goals and vision of the Division of Plastic Surgery and be</w:t>
      </w:r>
      <w:r w:rsidRPr="00796E2C">
        <w:rPr>
          <w:spacing w:val="-4"/>
        </w:rPr>
        <w:t xml:space="preserve"> </w:t>
      </w:r>
      <w:r w:rsidRPr="00796E2C">
        <w:t>expected</w:t>
      </w:r>
      <w:r w:rsidRPr="00796E2C">
        <w:rPr>
          <w:spacing w:val="-5"/>
        </w:rPr>
        <w:t xml:space="preserve"> </w:t>
      </w:r>
      <w:r w:rsidRPr="00796E2C">
        <w:t xml:space="preserve">to contribute to the teaching, supervision, and mentorship of graduate, and postgraduate students. The candidate will be eligible for an appointment </w:t>
      </w:r>
      <w:proofErr w:type="gramStart"/>
      <w:r w:rsidRPr="00796E2C">
        <w:t>to</w:t>
      </w:r>
      <w:proofErr w:type="gramEnd"/>
      <w:r w:rsidRPr="00796E2C">
        <w:t xml:space="preserve"> the Department of Surgery at the University of Toronto at a rank commensurate with their qualification and academic achievement. They must demonstrate a commitment to excellence in surgical education and academic administrative involvement including participating in committees at the hospital and university level.</w:t>
      </w:r>
    </w:p>
    <w:p w14:paraId="61E12096" w14:textId="77777777" w:rsidR="00796E2C" w:rsidRPr="00796E2C" w:rsidRDefault="00796E2C" w:rsidP="00796E2C">
      <w:pPr>
        <w:pStyle w:val="BodyText"/>
        <w:ind w:left="179" w:right="203"/>
      </w:pPr>
    </w:p>
    <w:p w14:paraId="7F427F91" w14:textId="77777777" w:rsidR="00796E2C" w:rsidRPr="00796E2C" w:rsidRDefault="00796E2C" w:rsidP="00796E2C">
      <w:pPr>
        <w:pStyle w:val="BodyText"/>
        <w:spacing w:before="80"/>
        <w:ind w:left="0" w:right="279"/>
      </w:pPr>
      <w:r w:rsidRPr="00796E2C">
        <w:rPr>
          <w:color w:val="1B293E"/>
        </w:rPr>
        <w:t>Michael Garron Hospital embraces Diversity and is building a culture of belonging that increases our capacity</w:t>
      </w:r>
      <w:r w:rsidRPr="00796E2C">
        <w:rPr>
          <w:color w:val="1B293E"/>
          <w:spacing w:val="-3"/>
        </w:rPr>
        <w:t xml:space="preserve"> </w:t>
      </w:r>
      <w:r w:rsidRPr="00796E2C">
        <w:rPr>
          <w:color w:val="1B293E"/>
        </w:rPr>
        <w:t>to</w:t>
      </w:r>
      <w:r w:rsidRPr="00796E2C">
        <w:rPr>
          <w:color w:val="1B293E"/>
          <w:spacing w:val="-3"/>
        </w:rPr>
        <w:t xml:space="preserve"> </w:t>
      </w:r>
      <w:r w:rsidRPr="00796E2C">
        <w:rPr>
          <w:color w:val="1B293E"/>
        </w:rPr>
        <w:t>effectively</w:t>
      </w:r>
      <w:r w:rsidRPr="00796E2C">
        <w:rPr>
          <w:color w:val="1B293E"/>
          <w:spacing w:val="-3"/>
        </w:rPr>
        <w:t xml:space="preserve"> </w:t>
      </w:r>
      <w:r w:rsidRPr="00796E2C">
        <w:rPr>
          <w:color w:val="1B293E"/>
        </w:rPr>
        <w:t>address</w:t>
      </w:r>
      <w:r w:rsidRPr="00796E2C">
        <w:rPr>
          <w:color w:val="1B293E"/>
          <w:spacing w:val="-3"/>
        </w:rPr>
        <w:t xml:space="preserve"> </w:t>
      </w:r>
      <w:r w:rsidRPr="00796E2C">
        <w:rPr>
          <w:color w:val="1B293E"/>
        </w:rPr>
        <w:t>and</w:t>
      </w:r>
      <w:r w:rsidRPr="00796E2C">
        <w:rPr>
          <w:color w:val="1B293E"/>
          <w:spacing w:val="-3"/>
        </w:rPr>
        <w:t xml:space="preserve"> </w:t>
      </w:r>
      <w:r w:rsidRPr="00796E2C">
        <w:rPr>
          <w:color w:val="1B293E"/>
        </w:rPr>
        <w:t>serve</w:t>
      </w:r>
      <w:r w:rsidRPr="00796E2C">
        <w:rPr>
          <w:color w:val="1B293E"/>
          <w:spacing w:val="-3"/>
        </w:rPr>
        <w:t xml:space="preserve"> </w:t>
      </w:r>
      <w:r w:rsidRPr="00796E2C">
        <w:rPr>
          <w:color w:val="1B293E"/>
        </w:rPr>
        <w:t>the</w:t>
      </w:r>
      <w:r w:rsidRPr="00796E2C">
        <w:rPr>
          <w:color w:val="1B293E"/>
          <w:spacing w:val="-3"/>
        </w:rPr>
        <w:t xml:space="preserve"> </w:t>
      </w:r>
      <w:r w:rsidRPr="00796E2C">
        <w:rPr>
          <w:color w:val="1B293E"/>
        </w:rPr>
        <w:t>interests</w:t>
      </w:r>
      <w:r w:rsidRPr="00796E2C">
        <w:rPr>
          <w:color w:val="1B293E"/>
          <w:spacing w:val="-3"/>
        </w:rPr>
        <w:t xml:space="preserve"> </w:t>
      </w:r>
      <w:r w:rsidRPr="00796E2C">
        <w:rPr>
          <w:color w:val="1B293E"/>
        </w:rPr>
        <w:t>of</w:t>
      </w:r>
      <w:r w:rsidRPr="00796E2C">
        <w:rPr>
          <w:color w:val="1B293E"/>
          <w:spacing w:val="-3"/>
        </w:rPr>
        <w:t xml:space="preserve"> </w:t>
      </w:r>
      <w:r w:rsidRPr="00796E2C">
        <w:rPr>
          <w:color w:val="1B293E"/>
        </w:rPr>
        <w:t>our</w:t>
      </w:r>
      <w:r w:rsidRPr="00796E2C">
        <w:rPr>
          <w:color w:val="1B293E"/>
          <w:spacing w:val="-3"/>
        </w:rPr>
        <w:t xml:space="preserve"> </w:t>
      </w:r>
      <w:r w:rsidRPr="00796E2C">
        <w:rPr>
          <w:color w:val="1B293E"/>
        </w:rPr>
        <w:t>global</w:t>
      </w:r>
      <w:r w:rsidRPr="00796E2C">
        <w:rPr>
          <w:color w:val="1B293E"/>
          <w:spacing w:val="-2"/>
        </w:rPr>
        <w:t xml:space="preserve"> </w:t>
      </w:r>
      <w:r w:rsidRPr="00796E2C">
        <w:rPr>
          <w:color w:val="1B293E"/>
        </w:rPr>
        <w:t>community.</w:t>
      </w:r>
      <w:r w:rsidRPr="00796E2C">
        <w:rPr>
          <w:color w:val="1B293E"/>
          <w:spacing w:val="-2"/>
        </w:rPr>
        <w:t xml:space="preserve"> </w:t>
      </w:r>
      <w:r w:rsidRPr="00796E2C">
        <w:rPr>
          <w:color w:val="1B293E"/>
        </w:rPr>
        <w:t>We</w:t>
      </w:r>
      <w:r w:rsidRPr="00796E2C">
        <w:rPr>
          <w:color w:val="1B293E"/>
          <w:spacing w:val="-3"/>
        </w:rPr>
        <w:t xml:space="preserve"> </w:t>
      </w:r>
      <w:r w:rsidRPr="00796E2C">
        <w:rPr>
          <w:color w:val="1B293E"/>
        </w:rPr>
        <w:t>strongly</w:t>
      </w:r>
      <w:r w:rsidRPr="00796E2C">
        <w:rPr>
          <w:color w:val="1B293E"/>
          <w:spacing w:val="-3"/>
        </w:rPr>
        <w:t xml:space="preserve"> </w:t>
      </w:r>
      <w:r w:rsidRPr="00796E2C">
        <w:rPr>
          <w:color w:val="1B293E"/>
        </w:rPr>
        <w:t>encourage applications from Indigenous Peoples, Black and racialized persons, women, persons with disabilities, and people of diverse sexual and gender identities. We value applicants who have demonstrated a commitment to equity, diversity and inclusion and recognize that diverse perspectives, experiences, and expertise are essential to strengthening our academic mission.</w:t>
      </w:r>
    </w:p>
    <w:p w14:paraId="3524D7F6" w14:textId="61FFE36D" w:rsidR="00796E2C" w:rsidRPr="00796E2C" w:rsidRDefault="00796E2C" w:rsidP="00796E2C">
      <w:pPr>
        <w:pStyle w:val="BodyText"/>
        <w:spacing w:before="229"/>
        <w:ind w:left="0" w:right="275"/>
      </w:pPr>
      <w:r w:rsidRPr="00796E2C">
        <w:rPr>
          <w:color w:val="1B293E"/>
        </w:rPr>
        <w:t>MGH strives to be an equitable and inclusive community and proactively seeks to increase diversity among its community members. Our values regarding equity and diversity are linked with our unwavering commitment to excellence in the pursuit of our academic mission. MGH is committed to the</w:t>
      </w:r>
      <w:r w:rsidRPr="00796E2C">
        <w:rPr>
          <w:color w:val="1B293E"/>
          <w:spacing w:val="-1"/>
        </w:rPr>
        <w:t xml:space="preserve"> </w:t>
      </w:r>
      <w:r w:rsidRPr="00796E2C">
        <w:rPr>
          <w:color w:val="1B293E"/>
        </w:rPr>
        <w:t>principles</w:t>
      </w:r>
      <w:r w:rsidRPr="00796E2C">
        <w:rPr>
          <w:color w:val="1B293E"/>
          <w:spacing w:val="-1"/>
        </w:rPr>
        <w:t xml:space="preserve"> </w:t>
      </w:r>
      <w:r w:rsidRPr="00796E2C">
        <w:rPr>
          <w:color w:val="1B293E"/>
        </w:rPr>
        <w:t>of</w:t>
      </w:r>
      <w:r w:rsidRPr="00796E2C">
        <w:rPr>
          <w:color w:val="1B293E"/>
          <w:spacing w:val="-1"/>
        </w:rPr>
        <w:t xml:space="preserve"> </w:t>
      </w:r>
      <w:r w:rsidRPr="00796E2C">
        <w:rPr>
          <w:color w:val="1B293E"/>
        </w:rPr>
        <w:t>the</w:t>
      </w:r>
      <w:r w:rsidRPr="00796E2C">
        <w:rPr>
          <w:color w:val="1B293E"/>
          <w:spacing w:val="-1"/>
        </w:rPr>
        <w:t xml:space="preserve"> </w:t>
      </w:r>
      <w:r w:rsidRPr="00796E2C">
        <w:rPr>
          <w:color w:val="1B293E"/>
        </w:rPr>
        <w:t>Accessibility</w:t>
      </w:r>
      <w:r w:rsidRPr="00796E2C">
        <w:rPr>
          <w:color w:val="1B293E"/>
          <w:spacing w:val="-1"/>
        </w:rPr>
        <w:t xml:space="preserve"> </w:t>
      </w:r>
      <w:r w:rsidRPr="00796E2C">
        <w:rPr>
          <w:color w:val="1B293E"/>
        </w:rPr>
        <w:t>for</w:t>
      </w:r>
      <w:r w:rsidRPr="00796E2C">
        <w:rPr>
          <w:color w:val="1B293E"/>
          <w:spacing w:val="-1"/>
        </w:rPr>
        <w:t xml:space="preserve"> </w:t>
      </w:r>
      <w:r w:rsidRPr="00796E2C">
        <w:rPr>
          <w:color w:val="1B293E"/>
        </w:rPr>
        <w:t>Ontarians</w:t>
      </w:r>
      <w:r w:rsidRPr="00796E2C">
        <w:rPr>
          <w:color w:val="1B293E"/>
          <w:spacing w:val="-1"/>
        </w:rPr>
        <w:t xml:space="preserve"> </w:t>
      </w:r>
      <w:r w:rsidRPr="00796E2C">
        <w:rPr>
          <w:color w:val="1B293E"/>
        </w:rPr>
        <w:t>with</w:t>
      </w:r>
      <w:r w:rsidRPr="00796E2C">
        <w:rPr>
          <w:color w:val="1B293E"/>
          <w:spacing w:val="-1"/>
        </w:rPr>
        <w:t xml:space="preserve"> </w:t>
      </w:r>
      <w:r w:rsidRPr="00796E2C">
        <w:rPr>
          <w:color w:val="1B293E"/>
        </w:rPr>
        <w:t>Disabilities</w:t>
      </w:r>
      <w:r w:rsidRPr="00796E2C">
        <w:rPr>
          <w:color w:val="1B293E"/>
          <w:spacing w:val="-1"/>
        </w:rPr>
        <w:t xml:space="preserve"> </w:t>
      </w:r>
      <w:r w:rsidRPr="00796E2C">
        <w:rPr>
          <w:color w:val="1B293E"/>
        </w:rPr>
        <w:t>Act</w:t>
      </w:r>
      <w:r w:rsidRPr="00796E2C">
        <w:rPr>
          <w:color w:val="1B293E"/>
          <w:spacing w:val="-1"/>
        </w:rPr>
        <w:t xml:space="preserve"> </w:t>
      </w:r>
      <w:r w:rsidRPr="00796E2C">
        <w:rPr>
          <w:color w:val="1B293E"/>
        </w:rPr>
        <w:t>(AODA).</w:t>
      </w:r>
      <w:r w:rsidRPr="00796E2C">
        <w:rPr>
          <w:color w:val="1B293E"/>
          <w:spacing w:val="-1"/>
        </w:rPr>
        <w:t xml:space="preserve"> </w:t>
      </w:r>
      <w:r w:rsidRPr="00796E2C">
        <w:rPr>
          <w:color w:val="1B293E"/>
        </w:rPr>
        <w:t>As</w:t>
      </w:r>
      <w:r w:rsidRPr="00796E2C">
        <w:rPr>
          <w:color w:val="1B293E"/>
          <w:spacing w:val="-1"/>
        </w:rPr>
        <w:t xml:space="preserve"> </w:t>
      </w:r>
      <w:r w:rsidRPr="00796E2C">
        <w:rPr>
          <w:color w:val="1B293E"/>
        </w:rPr>
        <w:t>such,</w:t>
      </w:r>
      <w:r w:rsidRPr="00796E2C">
        <w:rPr>
          <w:color w:val="1B293E"/>
          <w:spacing w:val="-1"/>
        </w:rPr>
        <w:t xml:space="preserve"> </w:t>
      </w:r>
      <w:r w:rsidRPr="00796E2C">
        <w:rPr>
          <w:color w:val="1B293E"/>
        </w:rPr>
        <w:t>we</w:t>
      </w:r>
      <w:r w:rsidRPr="00796E2C">
        <w:rPr>
          <w:color w:val="1B293E"/>
          <w:spacing w:val="-1"/>
        </w:rPr>
        <w:t xml:space="preserve"> </w:t>
      </w:r>
      <w:r w:rsidRPr="00796E2C">
        <w:rPr>
          <w:color w:val="1B293E"/>
        </w:rPr>
        <w:t>strive</w:t>
      </w:r>
      <w:r w:rsidRPr="00796E2C">
        <w:rPr>
          <w:color w:val="1B293E"/>
          <w:spacing w:val="-1"/>
        </w:rPr>
        <w:t xml:space="preserve"> </w:t>
      </w:r>
      <w:r w:rsidRPr="00796E2C">
        <w:rPr>
          <w:color w:val="1B293E"/>
        </w:rPr>
        <w:t>to</w:t>
      </w:r>
      <w:r w:rsidRPr="00796E2C">
        <w:rPr>
          <w:color w:val="1B293E"/>
          <w:spacing w:val="-1"/>
        </w:rPr>
        <w:t xml:space="preserve"> </w:t>
      </w:r>
      <w:r w:rsidRPr="00796E2C">
        <w:rPr>
          <w:color w:val="1B293E"/>
        </w:rPr>
        <w:t xml:space="preserve">make our recruitment, assessment and selection processes as accessible as possible and provide </w:t>
      </w:r>
      <w:proofErr w:type="gramStart"/>
      <w:r w:rsidR="00380A85" w:rsidRPr="00796E2C">
        <w:rPr>
          <w:color w:val="1B293E"/>
        </w:rPr>
        <w:t>accommodation</w:t>
      </w:r>
      <w:r w:rsidR="00380A85">
        <w:rPr>
          <w:color w:val="1B293E"/>
        </w:rPr>
        <w:t>s</w:t>
      </w:r>
      <w:proofErr w:type="gramEnd"/>
      <w:r w:rsidRPr="00796E2C">
        <w:rPr>
          <w:color w:val="1B293E"/>
        </w:rPr>
        <w:t xml:space="preserve"> as required for applicants with disabilities.</w:t>
      </w:r>
    </w:p>
    <w:p w14:paraId="617DBCA0" w14:textId="77777777" w:rsidR="00796E2C" w:rsidRPr="00796E2C" w:rsidRDefault="00796E2C" w:rsidP="00796E2C">
      <w:pPr>
        <w:pStyle w:val="BodyText"/>
        <w:spacing w:before="2"/>
        <w:ind w:left="0"/>
      </w:pPr>
    </w:p>
    <w:p w14:paraId="6FA42544" w14:textId="7E3F41C0" w:rsidR="00E253EA" w:rsidRPr="00796E2C" w:rsidRDefault="00277393">
      <w:pPr>
        <w:spacing w:before="280" w:after="280"/>
        <w:rPr>
          <w:rFonts w:ascii="Calibri" w:hAnsi="Calibri" w:cs="Calibri"/>
          <w:sz w:val="22"/>
          <w:szCs w:val="22"/>
        </w:rPr>
      </w:pPr>
      <w:r w:rsidRPr="00796E2C">
        <w:rPr>
          <w:rFonts w:ascii="Calibri" w:eastAsia="Calibri" w:hAnsi="Calibri" w:cs="Calibri"/>
          <w:sz w:val="22"/>
          <w:szCs w:val="22"/>
        </w:rPr>
        <w:t xml:space="preserve">Select applicants will be invited for an interview. The position available is for </w:t>
      </w:r>
      <w:r w:rsidR="00380A85">
        <w:rPr>
          <w:rFonts w:ascii="Calibri" w:eastAsia="Calibri" w:hAnsi="Calibri" w:cs="Calibri"/>
          <w:sz w:val="22"/>
          <w:szCs w:val="22"/>
        </w:rPr>
        <w:t>January 2026 (flexible).</w:t>
      </w:r>
    </w:p>
    <w:p w14:paraId="0736A282" w14:textId="5304B18C" w:rsidR="00E253EA" w:rsidRPr="00796E2C" w:rsidRDefault="00277393">
      <w:pPr>
        <w:spacing w:before="280" w:after="280"/>
        <w:rPr>
          <w:rFonts w:ascii="Calibri" w:hAnsi="Calibri" w:cs="Calibri"/>
          <w:sz w:val="22"/>
          <w:szCs w:val="22"/>
        </w:rPr>
      </w:pPr>
      <w:r w:rsidRPr="00796E2C">
        <w:rPr>
          <w:rFonts w:ascii="Calibri" w:eastAsia="Calibri" w:hAnsi="Calibri" w:cs="Calibri"/>
          <w:sz w:val="22"/>
          <w:szCs w:val="22"/>
        </w:rPr>
        <w:t xml:space="preserve">Interested applicants should send a letter, curriculum vitae and two letters of recommendation </w:t>
      </w:r>
      <w:r w:rsidR="00380A85">
        <w:rPr>
          <w:rFonts w:ascii="Calibri" w:eastAsia="Calibri" w:hAnsi="Calibri" w:cs="Calibri"/>
          <w:sz w:val="22"/>
          <w:szCs w:val="22"/>
        </w:rPr>
        <w:t>by November 3</w:t>
      </w:r>
      <w:r w:rsidR="00380A85" w:rsidRPr="00380A85">
        <w:rPr>
          <w:rFonts w:ascii="Calibri" w:eastAsia="Calibri" w:hAnsi="Calibri" w:cs="Calibri"/>
          <w:sz w:val="22"/>
          <w:szCs w:val="22"/>
          <w:vertAlign w:val="superscript"/>
        </w:rPr>
        <w:t>rd</w:t>
      </w:r>
      <w:r w:rsidR="00380A85">
        <w:rPr>
          <w:rFonts w:ascii="Calibri" w:eastAsia="Calibri" w:hAnsi="Calibri" w:cs="Calibri"/>
          <w:sz w:val="22"/>
          <w:szCs w:val="22"/>
        </w:rPr>
        <w:t xml:space="preserve"> </w:t>
      </w:r>
      <w:r w:rsidRPr="00796E2C">
        <w:rPr>
          <w:rFonts w:ascii="Calibri" w:eastAsia="Calibri" w:hAnsi="Calibri" w:cs="Calibri"/>
          <w:sz w:val="22"/>
          <w:szCs w:val="22"/>
        </w:rPr>
        <w:t>to:</w:t>
      </w:r>
    </w:p>
    <w:p w14:paraId="560511FE" w14:textId="77777777" w:rsidR="00E253EA" w:rsidRPr="00796E2C" w:rsidRDefault="00277393">
      <w:pPr>
        <w:rPr>
          <w:rFonts w:ascii="Calibri" w:hAnsi="Calibri" w:cs="Calibri"/>
          <w:sz w:val="22"/>
          <w:szCs w:val="22"/>
        </w:rPr>
      </w:pPr>
      <w:r w:rsidRPr="00796E2C">
        <w:rPr>
          <w:rFonts w:ascii="Calibri" w:eastAsia="Calibri" w:hAnsi="Calibri" w:cs="Calibri"/>
          <w:sz w:val="22"/>
          <w:szCs w:val="22"/>
        </w:rPr>
        <w:t>Dr. Rajiv K Singal</w:t>
      </w:r>
    </w:p>
    <w:p w14:paraId="1B902307" w14:textId="77777777" w:rsidR="00E253EA" w:rsidRPr="00796E2C" w:rsidRDefault="00277393">
      <w:pPr>
        <w:rPr>
          <w:rFonts w:ascii="Calibri" w:hAnsi="Calibri" w:cs="Calibri"/>
          <w:sz w:val="22"/>
          <w:szCs w:val="22"/>
        </w:rPr>
      </w:pPr>
      <w:r w:rsidRPr="00796E2C">
        <w:rPr>
          <w:rFonts w:ascii="Calibri" w:eastAsia="Calibri" w:hAnsi="Calibri" w:cs="Calibri"/>
          <w:sz w:val="22"/>
          <w:szCs w:val="22"/>
        </w:rPr>
        <w:t>Chief of Surgery and Co-Program Medical Director Surgery Program</w:t>
      </w:r>
    </w:p>
    <w:p w14:paraId="039C90A6" w14:textId="77777777" w:rsidR="00E253EA" w:rsidRPr="00796E2C" w:rsidRDefault="00277393">
      <w:pPr>
        <w:rPr>
          <w:rFonts w:ascii="Calibri" w:hAnsi="Calibri" w:cs="Calibri"/>
          <w:sz w:val="22"/>
          <w:szCs w:val="22"/>
        </w:rPr>
      </w:pPr>
      <w:bookmarkStart w:id="0" w:name="_MailAutoSig"/>
      <w:r w:rsidRPr="00796E2C">
        <w:rPr>
          <w:rFonts w:ascii="Calibri" w:eastAsia="Calibri" w:hAnsi="Calibri" w:cs="Calibri"/>
          <w:sz w:val="22"/>
          <w:szCs w:val="22"/>
        </w:rPr>
        <w:t xml:space="preserve">Michael Garron Hospital </w:t>
      </w:r>
    </w:p>
    <w:p w14:paraId="2865E043" w14:textId="77777777" w:rsidR="00E253EA" w:rsidRPr="00796E2C" w:rsidRDefault="00277393">
      <w:pPr>
        <w:rPr>
          <w:rFonts w:ascii="Calibri" w:hAnsi="Calibri" w:cs="Calibri"/>
          <w:sz w:val="22"/>
          <w:szCs w:val="22"/>
        </w:rPr>
      </w:pPr>
      <w:r w:rsidRPr="00796E2C">
        <w:rPr>
          <w:rFonts w:ascii="Calibri" w:eastAsia="Calibri" w:hAnsi="Calibri" w:cs="Calibri"/>
          <w:sz w:val="22"/>
          <w:szCs w:val="22"/>
        </w:rPr>
        <w:t>840 Coxwell Avenue, Suite 218</w:t>
      </w:r>
    </w:p>
    <w:p w14:paraId="67592768" w14:textId="77777777" w:rsidR="00E253EA" w:rsidRPr="00796E2C" w:rsidRDefault="00277393">
      <w:pPr>
        <w:rPr>
          <w:rFonts w:ascii="Calibri" w:hAnsi="Calibri" w:cs="Calibri"/>
          <w:sz w:val="22"/>
          <w:szCs w:val="22"/>
        </w:rPr>
      </w:pPr>
      <w:r w:rsidRPr="00796E2C">
        <w:rPr>
          <w:rFonts w:ascii="Calibri" w:eastAsia="Calibri" w:hAnsi="Calibri" w:cs="Calibri"/>
          <w:sz w:val="22"/>
          <w:szCs w:val="22"/>
        </w:rPr>
        <w:t xml:space="preserve">Toronto, ON  </w:t>
      </w:r>
    </w:p>
    <w:p w14:paraId="62499C0B" w14:textId="77777777" w:rsidR="00E253EA" w:rsidRPr="00796E2C" w:rsidRDefault="00470848">
      <w:pPr>
        <w:rPr>
          <w:rFonts w:ascii="Calibri" w:eastAsia="Calibri" w:hAnsi="Calibri" w:cs="Calibri"/>
          <w:sz w:val="22"/>
          <w:szCs w:val="22"/>
        </w:rPr>
      </w:pPr>
      <w:hyperlink r:id="rId5" w:history="1">
        <w:r w:rsidRPr="00796E2C">
          <w:rPr>
            <w:rStyle w:val="Hyperlink"/>
            <w:rFonts w:ascii="Calibri" w:eastAsia="Calibri" w:hAnsi="Calibri" w:cs="Calibri"/>
            <w:sz w:val="22"/>
            <w:szCs w:val="22"/>
          </w:rPr>
          <w:t>rajiv.singal@tehn.ca</w:t>
        </w:r>
      </w:hyperlink>
    </w:p>
    <w:p w14:paraId="3CF434FA" w14:textId="77777777" w:rsidR="00470848" w:rsidRPr="00796E2C" w:rsidRDefault="00470848">
      <w:pPr>
        <w:rPr>
          <w:rFonts w:ascii="Calibri" w:hAnsi="Calibri" w:cs="Calibri"/>
          <w:sz w:val="22"/>
          <w:szCs w:val="22"/>
        </w:rPr>
      </w:pPr>
    </w:p>
    <w:bookmarkEnd w:id="0"/>
    <w:p w14:paraId="7FA132A2" w14:textId="77777777" w:rsidR="00E253EA" w:rsidRPr="00796E2C" w:rsidRDefault="00277393" w:rsidP="00796E2C">
      <w:pPr>
        <w:numPr>
          <w:ilvl w:val="0"/>
          <w:numId w:val="1"/>
        </w:numPr>
        <w:pBdr>
          <w:top w:val="single" w:sz="4" w:space="0" w:color="000000"/>
          <w:left w:val="single" w:sz="4" w:space="0" w:color="000000"/>
          <w:bottom w:val="single" w:sz="4" w:space="31" w:color="000000"/>
          <w:right w:val="single" w:sz="4" w:space="4" w:color="000000"/>
        </w:pBdr>
        <w:tabs>
          <w:tab w:val="left" w:pos="1679"/>
        </w:tabs>
        <w:ind w:left="1600" w:right="95" w:hanging="360"/>
        <w:rPr>
          <w:rFonts w:ascii="Calibri" w:hAnsi="Calibri" w:cs="Calibri"/>
          <w:sz w:val="22"/>
          <w:szCs w:val="22"/>
        </w:rPr>
      </w:pPr>
      <w:r w:rsidRPr="00796E2C">
        <w:rPr>
          <w:rFonts w:ascii="Calibri" w:eastAsia="Calibri" w:hAnsi="Calibri" w:cs="Calibri"/>
          <w:sz w:val="22"/>
          <w:szCs w:val="22"/>
        </w:rPr>
        <w:t>Position Available</w:t>
      </w:r>
      <w:proofErr w:type="gramStart"/>
      <w:r w:rsidRPr="00796E2C">
        <w:rPr>
          <w:rFonts w:ascii="Calibri" w:eastAsia="Calibri" w:hAnsi="Calibri" w:cs="Calibri"/>
          <w:sz w:val="22"/>
          <w:szCs w:val="22"/>
        </w:rPr>
        <w:t>:  Plastic</w:t>
      </w:r>
      <w:proofErr w:type="gramEnd"/>
      <w:r w:rsidRPr="00796E2C">
        <w:rPr>
          <w:rFonts w:ascii="Calibri" w:eastAsia="Calibri" w:hAnsi="Calibri" w:cs="Calibri"/>
          <w:sz w:val="22"/>
          <w:szCs w:val="22"/>
        </w:rPr>
        <w:t xml:space="preserve"> Surgeon</w:t>
      </w:r>
    </w:p>
    <w:p w14:paraId="66206C8E" w14:textId="77777777" w:rsidR="00E253EA" w:rsidRPr="00796E2C" w:rsidRDefault="00277393" w:rsidP="00796E2C">
      <w:pPr>
        <w:numPr>
          <w:ilvl w:val="0"/>
          <w:numId w:val="1"/>
        </w:numPr>
        <w:pBdr>
          <w:top w:val="single" w:sz="4" w:space="0" w:color="000000"/>
          <w:left w:val="single" w:sz="4" w:space="0" w:color="000000"/>
          <w:bottom w:val="single" w:sz="4" w:space="31" w:color="000000"/>
          <w:right w:val="single" w:sz="4" w:space="4" w:color="000000"/>
        </w:pBdr>
        <w:tabs>
          <w:tab w:val="left" w:pos="1664"/>
        </w:tabs>
        <w:ind w:left="1600" w:right="95" w:hanging="360"/>
        <w:rPr>
          <w:rFonts w:ascii="Calibri" w:hAnsi="Calibri" w:cs="Calibri"/>
          <w:sz w:val="22"/>
          <w:szCs w:val="22"/>
        </w:rPr>
      </w:pPr>
      <w:r w:rsidRPr="00796E2C">
        <w:rPr>
          <w:rFonts w:ascii="Calibri" w:eastAsia="Calibri" w:hAnsi="Calibri" w:cs="Calibri"/>
          <w:sz w:val="22"/>
          <w:szCs w:val="22"/>
        </w:rPr>
        <w:t xml:space="preserve">Type of Position (full/part </w:t>
      </w:r>
      <w:proofErr w:type="spellStart"/>
      <w:proofErr w:type="gramStart"/>
      <w:r w:rsidRPr="00796E2C">
        <w:rPr>
          <w:rFonts w:ascii="Calibri" w:eastAsia="Calibri" w:hAnsi="Calibri" w:cs="Calibri"/>
          <w:sz w:val="22"/>
          <w:szCs w:val="22"/>
        </w:rPr>
        <w:t>time,locum</w:t>
      </w:r>
      <w:proofErr w:type="spellEnd"/>
      <w:proofErr w:type="gramEnd"/>
      <w:r w:rsidRPr="00796E2C">
        <w:rPr>
          <w:rFonts w:ascii="Calibri" w:eastAsia="Calibri" w:hAnsi="Calibri" w:cs="Calibri"/>
          <w:sz w:val="22"/>
          <w:szCs w:val="22"/>
        </w:rPr>
        <w:t>): Full Clinical (1 FTE)</w:t>
      </w:r>
    </w:p>
    <w:p w14:paraId="04F17F99" w14:textId="77777777" w:rsidR="00E253EA" w:rsidRPr="00796E2C" w:rsidRDefault="00277393" w:rsidP="00796E2C">
      <w:pPr>
        <w:numPr>
          <w:ilvl w:val="0"/>
          <w:numId w:val="1"/>
        </w:numPr>
        <w:pBdr>
          <w:top w:val="single" w:sz="4" w:space="0" w:color="000000"/>
          <w:left w:val="single" w:sz="4" w:space="0" w:color="000000"/>
          <w:bottom w:val="single" w:sz="4" w:space="31" w:color="000000"/>
          <w:right w:val="single" w:sz="4" w:space="4" w:color="000000"/>
        </w:pBdr>
        <w:tabs>
          <w:tab w:val="left" w:pos="1664"/>
        </w:tabs>
        <w:ind w:left="1600" w:right="95" w:hanging="360"/>
        <w:rPr>
          <w:rFonts w:ascii="Calibri" w:hAnsi="Calibri" w:cs="Calibri"/>
          <w:sz w:val="22"/>
          <w:szCs w:val="22"/>
        </w:rPr>
      </w:pPr>
      <w:r w:rsidRPr="00796E2C">
        <w:rPr>
          <w:rFonts w:ascii="Calibri" w:eastAsia="Calibri" w:hAnsi="Calibri" w:cs="Calibri"/>
          <w:sz w:val="22"/>
          <w:szCs w:val="22"/>
        </w:rPr>
        <w:t>Hospital: Michael Garron Hospital, Toronto East Health Network</w:t>
      </w:r>
    </w:p>
    <w:p w14:paraId="3FB8B54C" w14:textId="77777777" w:rsidR="00E253EA" w:rsidRPr="00796E2C" w:rsidRDefault="00277393" w:rsidP="00796E2C">
      <w:pPr>
        <w:numPr>
          <w:ilvl w:val="0"/>
          <w:numId w:val="1"/>
        </w:numPr>
        <w:pBdr>
          <w:top w:val="single" w:sz="4" w:space="0" w:color="000000"/>
          <w:left w:val="single" w:sz="4" w:space="0" w:color="000000"/>
          <w:bottom w:val="single" w:sz="4" w:space="31" w:color="000000"/>
          <w:right w:val="single" w:sz="4" w:space="4" w:color="000000"/>
        </w:pBdr>
        <w:tabs>
          <w:tab w:val="left" w:pos="1664"/>
        </w:tabs>
        <w:ind w:left="1600" w:right="95" w:hanging="360"/>
        <w:rPr>
          <w:rFonts w:ascii="Calibri" w:hAnsi="Calibri" w:cs="Calibri"/>
          <w:sz w:val="22"/>
          <w:szCs w:val="22"/>
        </w:rPr>
      </w:pPr>
      <w:r w:rsidRPr="00796E2C">
        <w:rPr>
          <w:rFonts w:ascii="Calibri" w:eastAsia="Calibri" w:hAnsi="Calibri" w:cs="Calibri"/>
          <w:sz w:val="22"/>
          <w:szCs w:val="22"/>
        </w:rPr>
        <w:t>City: Toronto, Ontario</w:t>
      </w:r>
    </w:p>
    <w:p w14:paraId="2C0FFE9A" w14:textId="77777777" w:rsidR="00E253EA" w:rsidRPr="00796E2C" w:rsidRDefault="00277393" w:rsidP="00796E2C">
      <w:pPr>
        <w:numPr>
          <w:ilvl w:val="0"/>
          <w:numId w:val="1"/>
        </w:numPr>
        <w:pBdr>
          <w:top w:val="single" w:sz="4" w:space="0" w:color="000000"/>
          <w:left w:val="single" w:sz="4" w:space="0" w:color="000000"/>
          <w:bottom w:val="single" w:sz="4" w:space="31" w:color="000000"/>
          <w:right w:val="single" w:sz="4" w:space="4" w:color="000000"/>
        </w:pBdr>
        <w:tabs>
          <w:tab w:val="left" w:pos="1664"/>
        </w:tabs>
        <w:ind w:left="1600" w:right="95" w:hanging="360"/>
        <w:rPr>
          <w:rFonts w:ascii="Calibri" w:hAnsi="Calibri" w:cs="Calibri"/>
          <w:sz w:val="22"/>
          <w:szCs w:val="22"/>
        </w:rPr>
      </w:pPr>
      <w:r w:rsidRPr="00796E2C">
        <w:rPr>
          <w:rFonts w:ascii="Calibri" w:eastAsia="Calibri" w:hAnsi="Calibri" w:cs="Calibri"/>
          <w:sz w:val="22"/>
          <w:szCs w:val="22"/>
        </w:rPr>
        <w:t>Area: (rural/urban/remote) Urban</w:t>
      </w:r>
    </w:p>
    <w:p w14:paraId="7CA71330" w14:textId="7680D025" w:rsidR="00E253EA" w:rsidRPr="00796E2C" w:rsidRDefault="00344C13" w:rsidP="00796E2C">
      <w:pPr>
        <w:numPr>
          <w:ilvl w:val="0"/>
          <w:numId w:val="1"/>
        </w:numPr>
        <w:pBdr>
          <w:top w:val="single" w:sz="4" w:space="0" w:color="000000"/>
          <w:left w:val="single" w:sz="4" w:space="0" w:color="000000"/>
          <w:bottom w:val="single" w:sz="4" w:space="31" w:color="000000"/>
          <w:right w:val="single" w:sz="4" w:space="4" w:color="000000"/>
        </w:pBdr>
        <w:tabs>
          <w:tab w:val="left" w:pos="1664"/>
        </w:tabs>
        <w:ind w:left="1600" w:right="95" w:hanging="360"/>
        <w:rPr>
          <w:rFonts w:ascii="Calibri" w:hAnsi="Calibri" w:cs="Calibri"/>
          <w:sz w:val="22"/>
          <w:szCs w:val="22"/>
        </w:rPr>
      </w:pPr>
      <w:r w:rsidRPr="00796E2C">
        <w:rPr>
          <w:rFonts w:ascii="Calibri" w:eastAsia="Calibri" w:hAnsi="Calibri" w:cs="Calibri"/>
          <w:sz w:val="22"/>
          <w:szCs w:val="22"/>
        </w:rPr>
        <w:t xml:space="preserve">Start Time: </w:t>
      </w:r>
      <w:r w:rsidR="003A5185">
        <w:rPr>
          <w:rFonts w:ascii="Calibri" w:eastAsia="Calibri" w:hAnsi="Calibri" w:cs="Calibri"/>
          <w:sz w:val="22"/>
          <w:szCs w:val="22"/>
        </w:rPr>
        <w:t>January 2026 (Flexible)</w:t>
      </w:r>
    </w:p>
    <w:p w14:paraId="30980FF3" w14:textId="0029D447" w:rsidR="00E253EA" w:rsidRPr="00796E2C" w:rsidRDefault="00277393" w:rsidP="00796E2C">
      <w:pPr>
        <w:numPr>
          <w:ilvl w:val="0"/>
          <w:numId w:val="1"/>
        </w:numPr>
        <w:pBdr>
          <w:top w:val="single" w:sz="4" w:space="0" w:color="000000"/>
          <w:left w:val="single" w:sz="4" w:space="0" w:color="000000"/>
          <w:bottom w:val="single" w:sz="4" w:space="31" w:color="000000"/>
          <w:right w:val="single" w:sz="4" w:space="4" w:color="000000"/>
        </w:pBdr>
        <w:tabs>
          <w:tab w:val="left" w:pos="1664"/>
        </w:tabs>
        <w:ind w:left="1600" w:right="95" w:hanging="360"/>
        <w:rPr>
          <w:rFonts w:ascii="Calibri" w:hAnsi="Calibri" w:cs="Calibri"/>
          <w:sz w:val="22"/>
          <w:szCs w:val="22"/>
        </w:rPr>
      </w:pPr>
      <w:r w:rsidRPr="00796E2C">
        <w:rPr>
          <w:rFonts w:ascii="Calibri" w:eastAsia="Calibri" w:hAnsi="Calibri" w:cs="Calibri"/>
          <w:sz w:val="22"/>
          <w:szCs w:val="22"/>
        </w:rPr>
        <w:t xml:space="preserve">Surgical Expertise Required: </w:t>
      </w:r>
      <w:r w:rsidR="00796E2C" w:rsidRPr="00796E2C">
        <w:rPr>
          <w:rFonts w:ascii="Calibri" w:eastAsia="Calibri" w:hAnsi="Calibri" w:cs="Calibri"/>
          <w:sz w:val="22"/>
          <w:szCs w:val="22"/>
        </w:rPr>
        <w:t>Canadian Board certification, Fellowship in Hand/Breast Reconstruction</w:t>
      </w:r>
      <w:r w:rsidR="00344C13" w:rsidRPr="00796E2C">
        <w:rPr>
          <w:rFonts w:ascii="Calibri" w:eastAsia="Calibri" w:hAnsi="Calibri" w:cs="Calibri"/>
          <w:sz w:val="22"/>
          <w:szCs w:val="22"/>
        </w:rPr>
        <w:t xml:space="preserve"> </w:t>
      </w:r>
    </w:p>
    <w:p w14:paraId="54A8AC53" w14:textId="77777777" w:rsidR="00E253EA" w:rsidRPr="00796E2C" w:rsidRDefault="00277393" w:rsidP="00796E2C">
      <w:pPr>
        <w:numPr>
          <w:ilvl w:val="0"/>
          <w:numId w:val="1"/>
        </w:numPr>
        <w:pBdr>
          <w:top w:val="single" w:sz="4" w:space="0" w:color="000000"/>
          <w:left w:val="single" w:sz="4" w:space="0" w:color="000000"/>
          <w:bottom w:val="single" w:sz="4" w:space="31" w:color="000000"/>
          <w:right w:val="single" w:sz="4" w:space="4" w:color="000000"/>
        </w:pBdr>
        <w:tabs>
          <w:tab w:val="left" w:pos="1664"/>
        </w:tabs>
        <w:ind w:left="1600" w:right="95" w:hanging="360"/>
        <w:rPr>
          <w:rFonts w:ascii="Calibri" w:hAnsi="Calibri" w:cs="Calibri"/>
          <w:sz w:val="22"/>
          <w:szCs w:val="22"/>
        </w:rPr>
      </w:pPr>
      <w:r w:rsidRPr="00796E2C">
        <w:rPr>
          <w:rFonts w:ascii="Calibri" w:eastAsia="Calibri" w:hAnsi="Calibri" w:cs="Calibri"/>
          <w:sz w:val="22"/>
          <w:szCs w:val="22"/>
        </w:rPr>
        <w:t>Remuneration: Fee for service (OHIP)</w:t>
      </w:r>
    </w:p>
    <w:p w14:paraId="65E7DE31" w14:textId="77777777" w:rsidR="00E253EA" w:rsidRPr="00796E2C" w:rsidRDefault="00277393" w:rsidP="00796E2C">
      <w:pPr>
        <w:numPr>
          <w:ilvl w:val="0"/>
          <w:numId w:val="1"/>
        </w:numPr>
        <w:pBdr>
          <w:top w:val="single" w:sz="4" w:space="0" w:color="000000"/>
          <w:left w:val="single" w:sz="4" w:space="0" w:color="000000"/>
          <w:bottom w:val="single" w:sz="4" w:space="31" w:color="000000"/>
          <w:right w:val="single" w:sz="4" w:space="4" w:color="000000"/>
        </w:pBdr>
        <w:tabs>
          <w:tab w:val="left" w:pos="1664"/>
        </w:tabs>
        <w:ind w:left="1600" w:right="95" w:hanging="360"/>
        <w:rPr>
          <w:rFonts w:ascii="Calibri" w:hAnsi="Calibri" w:cs="Calibri"/>
          <w:sz w:val="22"/>
          <w:szCs w:val="22"/>
        </w:rPr>
      </w:pPr>
      <w:r w:rsidRPr="00796E2C">
        <w:rPr>
          <w:rFonts w:ascii="Calibri" w:eastAsia="Calibri" w:hAnsi="Calibri" w:cs="Calibri"/>
          <w:sz w:val="22"/>
          <w:szCs w:val="22"/>
        </w:rPr>
        <w:t>On-Call (1 in 4): Equal rotation within plastic surgery division</w:t>
      </w:r>
    </w:p>
    <w:p w14:paraId="475521FD" w14:textId="70BB4F68" w:rsidR="00861EA7" w:rsidRPr="00796E2C" w:rsidRDefault="00277393" w:rsidP="00796E2C">
      <w:pPr>
        <w:numPr>
          <w:ilvl w:val="0"/>
          <w:numId w:val="1"/>
        </w:numPr>
        <w:pBdr>
          <w:top w:val="single" w:sz="4" w:space="0" w:color="000000"/>
          <w:left w:val="single" w:sz="4" w:space="0" w:color="000000"/>
          <w:bottom w:val="single" w:sz="4" w:space="31" w:color="000000"/>
          <w:right w:val="single" w:sz="4" w:space="4" w:color="000000"/>
        </w:pBdr>
        <w:tabs>
          <w:tab w:val="left" w:pos="1664"/>
        </w:tabs>
        <w:spacing w:after="100"/>
        <w:ind w:left="1600" w:right="95" w:hanging="360"/>
        <w:rPr>
          <w:rFonts w:ascii="Calibri" w:hAnsi="Calibri" w:cs="Calibri"/>
          <w:sz w:val="22"/>
          <w:szCs w:val="22"/>
        </w:rPr>
      </w:pPr>
      <w:r w:rsidRPr="00796E2C">
        <w:rPr>
          <w:rFonts w:ascii="Calibri" w:eastAsia="Calibri" w:hAnsi="Calibri" w:cs="Calibri"/>
          <w:sz w:val="22"/>
          <w:szCs w:val="22"/>
        </w:rPr>
        <w:t>Contact Information: Dr. Rajiv Singal, Chief of</w:t>
      </w:r>
      <w:r w:rsidR="00861EA7" w:rsidRPr="00796E2C">
        <w:rPr>
          <w:rFonts w:ascii="Calibri" w:eastAsia="Calibri" w:hAnsi="Calibri" w:cs="Calibri"/>
          <w:sz w:val="22"/>
          <w:szCs w:val="22"/>
        </w:rPr>
        <w:t xml:space="preserve"> Surgery</w:t>
      </w:r>
      <w:r w:rsidR="00470848" w:rsidRPr="00796E2C">
        <w:rPr>
          <w:rFonts w:ascii="Calibri" w:eastAsia="Calibri" w:hAnsi="Calibri" w:cs="Calibri"/>
          <w:sz w:val="22"/>
          <w:szCs w:val="22"/>
        </w:rPr>
        <w:t>,</w:t>
      </w:r>
      <w:r w:rsidR="00861EA7" w:rsidRPr="00796E2C">
        <w:rPr>
          <w:rFonts w:ascii="Calibri" w:eastAsia="Calibri" w:hAnsi="Calibri" w:cs="Calibri"/>
          <w:sz w:val="22"/>
          <w:szCs w:val="22"/>
        </w:rPr>
        <w:t xml:space="preserve"> Michael Garron </w:t>
      </w:r>
      <w:proofErr w:type="gramStart"/>
      <w:r w:rsidR="00861EA7" w:rsidRPr="00796E2C">
        <w:rPr>
          <w:rFonts w:ascii="Calibri" w:eastAsia="Calibri" w:hAnsi="Calibri" w:cs="Calibri"/>
          <w:sz w:val="22"/>
          <w:szCs w:val="22"/>
        </w:rPr>
        <w:t>Hospital</w:t>
      </w:r>
      <w:r w:rsidR="00470848" w:rsidRPr="00796E2C">
        <w:rPr>
          <w:rFonts w:ascii="Calibri" w:eastAsia="Calibri" w:hAnsi="Calibri" w:cs="Calibri"/>
          <w:sz w:val="22"/>
          <w:szCs w:val="22"/>
        </w:rPr>
        <w:t xml:space="preserve">  Email</w:t>
      </w:r>
      <w:proofErr w:type="gramEnd"/>
      <w:r w:rsidR="00470848" w:rsidRPr="00796E2C">
        <w:rPr>
          <w:rFonts w:ascii="Calibri" w:eastAsia="Calibri" w:hAnsi="Calibri" w:cs="Calibri"/>
          <w:sz w:val="22"/>
          <w:szCs w:val="22"/>
        </w:rPr>
        <w:t>: rajiv.singal@tehn.ca</w:t>
      </w:r>
    </w:p>
    <w:sectPr w:rsidR="00861EA7" w:rsidRPr="00796E2C">
      <w:pgSz w:w="12240" w:h="15840"/>
      <w:pgMar w:top="90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C78E2D66">
      <w:start w:val="1"/>
      <w:numFmt w:val="bullet"/>
      <w:lvlText w:val=""/>
      <w:lvlJc w:val="left"/>
      <w:pPr>
        <w:ind w:left="0" w:firstLine="0"/>
      </w:pPr>
      <w:rPr>
        <w:rFonts w:ascii="Symbol" w:eastAsia="Symbol" w:hAnsi="Symbol" w:cs="Symbol"/>
        <w:sz w:val="20"/>
        <w:szCs w:val="20"/>
      </w:rPr>
    </w:lvl>
    <w:lvl w:ilvl="1" w:tplc="05980A8C">
      <w:start w:val="1"/>
      <w:numFmt w:val="bullet"/>
      <w:lvlText w:val="o"/>
      <w:lvlJc w:val="left"/>
      <w:pPr>
        <w:tabs>
          <w:tab w:val="num" w:pos="1440"/>
        </w:tabs>
        <w:ind w:left="1440" w:hanging="360"/>
      </w:pPr>
      <w:rPr>
        <w:rFonts w:ascii="Courier New" w:hAnsi="Courier New"/>
      </w:rPr>
    </w:lvl>
    <w:lvl w:ilvl="2" w:tplc="F8DE1DC6">
      <w:start w:val="1"/>
      <w:numFmt w:val="bullet"/>
      <w:lvlText w:val=""/>
      <w:lvlJc w:val="left"/>
      <w:pPr>
        <w:tabs>
          <w:tab w:val="num" w:pos="2160"/>
        </w:tabs>
        <w:ind w:left="2160" w:hanging="360"/>
      </w:pPr>
      <w:rPr>
        <w:rFonts w:ascii="Wingdings" w:hAnsi="Wingdings"/>
      </w:rPr>
    </w:lvl>
    <w:lvl w:ilvl="3" w:tplc="8B547704">
      <w:start w:val="1"/>
      <w:numFmt w:val="bullet"/>
      <w:lvlText w:val=""/>
      <w:lvlJc w:val="left"/>
      <w:pPr>
        <w:tabs>
          <w:tab w:val="num" w:pos="2880"/>
        </w:tabs>
        <w:ind w:left="2880" w:hanging="360"/>
      </w:pPr>
      <w:rPr>
        <w:rFonts w:ascii="Symbol" w:hAnsi="Symbol"/>
      </w:rPr>
    </w:lvl>
    <w:lvl w:ilvl="4" w:tplc="4D725DC2">
      <w:start w:val="1"/>
      <w:numFmt w:val="bullet"/>
      <w:lvlText w:val="o"/>
      <w:lvlJc w:val="left"/>
      <w:pPr>
        <w:tabs>
          <w:tab w:val="num" w:pos="3600"/>
        </w:tabs>
        <w:ind w:left="3600" w:hanging="360"/>
      </w:pPr>
      <w:rPr>
        <w:rFonts w:ascii="Courier New" w:hAnsi="Courier New"/>
      </w:rPr>
    </w:lvl>
    <w:lvl w:ilvl="5" w:tplc="771497C6">
      <w:start w:val="1"/>
      <w:numFmt w:val="bullet"/>
      <w:lvlText w:val=""/>
      <w:lvlJc w:val="left"/>
      <w:pPr>
        <w:tabs>
          <w:tab w:val="num" w:pos="4320"/>
        </w:tabs>
        <w:ind w:left="4320" w:hanging="360"/>
      </w:pPr>
      <w:rPr>
        <w:rFonts w:ascii="Wingdings" w:hAnsi="Wingdings"/>
      </w:rPr>
    </w:lvl>
    <w:lvl w:ilvl="6" w:tplc="EAB0FB06">
      <w:start w:val="1"/>
      <w:numFmt w:val="bullet"/>
      <w:lvlText w:val=""/>
      <w:lvlJc w:val="left"/>
      <w:pPr>
        <w:tabs>
          <w:tab w:val="num" w:pos="5040"/>
        </w:tabs>
        <w:ind w:left="5040" w:hanging="360"/>
      </w:pPr>
      <w:rPr>
        <w:rFonts w:ascii="Symbol" w:hAnsi="Symbol"/>
      </w:rPr>
    </w:lvl>
    <w:lvl w:ilvl="7" w:tplc="B82C006E">
      <w:start w:val="1"/>
      <w:numFmt w:val="bullet"/>
      <w:lvlText w:val="o"/>
      <w:lvlJc w:val="left"/>
      <w:pPr>
        <w:tabs>
          <w:tab w:val="num" w:pos="5760"/>
        </w:tabs>
        <w:ind w:left="5760" w:hanging="360"/>
      </w:pPr>
      <w:rPr>
        <w:rFonts w:ascii="Courier New" w:hAnsi="Courier New"/>
      </w:rPr>
    </w:lvl>
    <w:lvl w:ilvl="8" w:tplc="BE30B4E6">
      <w:start w:val="1"/>
      <w:numFmt w:val="bullet"/>
      <w:lvlText w:val=""/>
      <w:lvlJc w:val="left"/>
      <w:pPr>
        <w:tabs>
          <w:tab w:val="num" w:pos="6480"/>
        </w:tabs>
        <w:ind w:left="6480" w:hanging="360"/>
      </w:pPr>
      <w:rPr>
        <w:rFonts w:ascii="Wingdings" w:hAnsi="Wingdings"/>
      </w:rPr>
    </w:lvl>
  </w:abstractNum>
  <w:num w:numId="1" w16cid:durableId="1201169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EA"/>
    <w:rsid w:val="002528DC"/>
    <w:rsid w:val="00277393"/>
    <w:rsid w:val="00292502"/>
    <w:rsid w:val="00334736"/>
    <w:rsid w:val="00344C13"/>
    <w:rsid w:val="00380A85"/>
    <w:rsid w:val="00381090"/>
    <w:rsid w:val="003A5185"/>
    <w:rsid w:val="00470848"/>
    <w:rsid w:val="005978E8"/>
    <w:rsid w:val="00653655"/>
    <w:rsid w:val="00766065"/>
    <w:rsid w:val="00796E2C"/>
    <w:rsid w:val="00861EA7"/>
    <w:rsid w:val="008B0971"/>
    <w:rsid w:val="00AE093E"/>
    <w:rsid w:val="00B46A56"/>
    <w:rsid w:val="00CB6CFD"/>
    <w:rsid w:val="00E253EA"/>
    <w:rsid w:val="00F151AC"/>
    <w:rsid w:val="00F4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7E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470848"/>
    <w:rPr>
      <w:color w:val="0000FF" w:themeColor="hyperlink"/>
      <w:u w:val="single"/>
    </w:rPr>
  </w:style>
  <w:style w:type="paragraph" w:styleId="BodyText">
    <w:name w:val="Body Text"/>
    <w:basedOn w:val="Normal"/>
    <w:link w:val="BodyTextChar"/>
    <w:uiPriority w:val="1"/>
    <w:qFormat/>
    <w:rsid w:val="00796E2C"/>
    <w:pPr>
      <w:widowControl w:val="0"/>
      <w:autoSpaceDE w:val="0"/>
      <w:autoSpaceDN w:val="0"/>
      <w:ind w:left="260"/>
    </w:pPr>
    <w:rPr>
      <w:rFonts w:ascii="Calibri" w:eastAsia="Calibri" w:hAnsi="Calibri" w:cs="Calibri"/>
      <w:sz w:val="22"/>
      <w:szCs w:val="22"/>
    </w:rPr>
  </w:style>
  <w:style w:type="character" w:customStyle="1" w:styleId="BodyTextChar">
    <w:name w:val="Body Text Char"/>
    <w:basedOn w:val="DefaultParagraphFont"/>
    <w:link w:val="BodyText"/>
    <w:uiPriority w:val="1"/>
    <w:rsid w:val="00796E2C"/>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jiv.singal@teh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brett beber</cp:lastModifiedBy>
  <cp:revision>2</cp:revision>
  <dcterms:created xsi:type="dcterms:W3CDTF">2025-09-10T02:30:00Z</dcterms:created>
  <dcterms:modified xsi:type="dcterms:W3CDTF">2025-09-10T02:30:00Z</dcterms:modified>
</cp:coreProperties>
</file>